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Investigating predictive audiovisual language processing in cochlear implant users</w:t>
      </w:r>
    </w:p>
    <w:p w:rsidR="00000000" w:rsidDel="00000000" w:rsidP="00000000" w:rsidRDefault="00000000" w:rsidRPr="00000000" w14:paraId="00000002">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Simone Gastaldon</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Noemi Bonfiglio</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Francesco Vespignani</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Flavia Gheller</w:t>
      </w:r>
      <w:r w:rsidDel="00000000" w:rsidR="00000000" w:rsidRPr="00000000">
        <w:rPr>
          <w:rFonts w:ascii="Times New Roman" w:cs="Times New Roman" w:eastAsia="Times New Roman" w:hAnsi="Times New Roman"/>
          <w:sz w:val="24"/>
          <w:szCs w:val="24"/>
          <w:vertAlign w:val="superscript"/>
          <w:rtl w:val="0"/>
        </w:rPr>
        <w:t xml:space="preserve">1,3</w:t>
      </w:r>
      <w:r w:rsidDel="00000000" w:rsidR="00000000" w:rsidRPr="00000000">
        <w:rPr>
          <w:rFonts w:ascii="Times New Roman" w:cs="Times New Roman" w:eastAsia="Times New Roman" w:hAnsi="Times New Roman"/>
          <w:sz w:val="24"/>
          <w:szCs w:val="24"/>
          <w:rtl w:val="0"/>
        </w:rPr>
        <w:t xml:space="preserve">, Davide Brotto</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Davide Bottari</w:t>
      </w:r>
      <w:r w:rsidDel="00000000" w:rsidR="00000000" w:rsidRPr="00000000">
        <w:rPr>
          <w:rFonts w:ascii="Times New Roman" w:cs="Times New Roman" w:eastAsia="Times New Roman" w:hAnsi="Times New Roman"/>
          <w:sz w:val="24"/>
          <w:szCs w:val="24"/>
          <w:vertAlign w:val="superscript"/>
          <w:rtl w:val="0"/>
        </w:rPr>
        <w:t xml:space="preserve">5</w:t>
      </w:r>
      <w:r w:rsidDel="00000000" w:rsidR="00000000" w:rsidRPr="00000000">
        <w:rPr>
          <w:rFonts w:ascii="Times New Roman" w:cs="Times New Roman" w:eastAsia="Times New Roman" w:hAnsi="Times New Roman"/>
          <w:sz w:val="24"/>
          <w:szCs w:val="24"/>
          <w:rtl w:val="0"/>
        </w:rPr>
        <w:t xml:space="preserve">, Patrizia Trevisi</w:t>
      </w:r>
      <w:r w:rsidDel="00000000" w:rsidR="00000000" w:rsidRPr="00000000">
        <w:rPr>
          <w:rFonts w:ascii="Times New Roman" w:cs="Times New Roman" w:eastAsia="Times New Roman" w:hAnsi="Times New Roman"/>
          <w:sz w:val="24"/>
          <w:szCs w:val="24"/>
          <w:vertAlign w:val="superscript"/>
          <w:rtl w:val="0"/>
        </w:rPr>
        <w:t xml:space="preserve">4,2,3</w:t>
      </w:r>
      <w:r w:rsidDel="00000000" w:rsidR="00000000" w:rsidRPr="00000000">
        <w:rPr>
          <w:rFonts w:ascii="Times New Roman" w:cs="Times New Roman" w:eastAsia="Times New Roman" w:hAnsi="Times New Roman"/>
          <w:sz w:val="24"/>
          <w:szCs w:val="24"/>
          <w:rtl w:val="0"/>
        </w:rPr>
        <w:t xml:space="preserve">, Alessandro Martini</w:t>
      </w:r>
      <w:r w:rsidDel="00000000" w:rsidR="00000000" w:rsidRPr="00000000">
        <w:rPr>
          <w:rFonts w:ascii="Times New Roman" w:cs="Times New Roman" w:eastAsia="Times New Roman" w:hAnsi="Times New Roman"/>
          <w:sz w:val="24"/>
          <w:szCs w:val="24"/>
          <w:vertAlign w:val="superscript"/>
          <w:rtl w:val="0"/>
        </w:rPr>
        <w:t xml:space="preserve">4,2,3</w:t>
      </w:r>
      <w:r w:rsidDel="00000000" w:rsidR="00000000" w:rsidRPr="00000000">
        <w:rPr>
          <w:rFonts w:ascii="Times New Roman" w:cs="Times New Roman" w:eastAsia="Times New Roman" w:hAnsi="Times New Roman"/>
          <w:sz w:val="24"/>
          <w:szCs w:val="24"/>
          <w:rtl w:val="0"/>
        </w:rPr>
        <w:t xml:space="preserve">, Francesca Peressotti</w:t>
      </w:r>
      <w:r w:rsidDel="00000000" w:rsidR="00000000" w:rsidRPr="00000000">
        <w:rPr>
          <w:rFonts w:ascii="Times New Roman" w:cs="Times New Roman" w:eastAsia="Times New Roman" w:hAnsi="Times New Roman"/>
          <w:sz w:val="24"/>
          <w:szCs w:val="24"/>
          <w:vertAlign w:val="superscript"/>
          <w:rtl w:val="0"/>
        </w:rPr>
        <w:t xml:space="preserve">1,2,3</w:t>
      </w:r>
      <w:r w:rsidDel="00000000" w:rsidR="00000000" w:rsidRPr="00000000">
        <w:rPr>
          <w:rtl w:val="0"/>
        </w:rPr>
      </w:r>
    </w:p>
    <w:p w:rsidR="00000000" w:rsidDel="00000000" w:rsidP="00000000" w:rsidRDefault="00000000" w:rsidRPr="00000000" w14:paraId="00000003">
      <w:pPr>
        <w:shd w:fill="ffffff" w:val="clea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shd w:fill="ffffff" w:val="clea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Dipartimento di Psicologia dello Sviluppo e della Socializzazione (DPSS), University of Padova, Padova, Italy</w:t>
      </w:r>
    </w:p>
    <w:p w:rsidR="00000000" w:rsidDel="00000000" w:rsidP="00000000" w:rsidRDefault="00000000" w:rsidRPr="00000000" w14:paraId="00000005">
      <w:pPr>
        <w:shd w:fill="ffffff" w:val="clea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Padova Neuroscience Center (PNC), University of Padova, Padova, Italy</w:t>
      </w:r>
    </w:p>
    <w:p w:rsidR="00000000" w:rsidDel="00000000" w:rsidP="00000000" w:rsidRDefault="00000000" w:rsidRPr="00000000" w14:paraId="00000006">
      <w:pPr>
        <w:shd w:fill="ffffff" w:val="clea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Centro Interdipartimentale di Ricerca "I-APPROVE – International Auditory Processing Project in Venice”, University of Padova, Padova, Italy</w:t>
      </w:r>
    </w:p>
    <w:p w:rsidR="00000000" w:rsidDel="00000000" w:rsidP="00000000" w:rsidRDefault="00000000" w:rsidRPr="00000000" w14:paraId="00000007">
      <w:pPr>
        <w:shd w:fill="ffffff" w:val="clea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Dipartimento di Neuroscienze (DNS), UOC Otorinolaringoiatria, Padova, Italy</w:t>
      </w:r>
    </w:p>
    <w:p w:rsidR="00000000" w:rsidDel="00000000" w:rsidP="00000000" w:rsidRDefault="00000000" w:rsidRPr="00000000" w14:paraId="00000008">
      <w:pPr>
        <w:shd w:fill="ffffff" w:val="clea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Scuola IMT Alti Studi Lucca, Lucca, Italy</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spacing w:after="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Seeing the interlocutor’s mouth may be particularly relevant for deaf people with cochlear implant (CI users). In an exploratory EEG study, CI users and normal hearing (NH) controls were presented with video recordings of a speaker uttering sentences. Final word predictability was determined by the preceding sentence constraint (high </w:t>
      </w:r>
      <w:r w:rsidDel="00000000" w:rsidR="00000000" w:rsidRPr="00000000">
        <w:rPr>
          <w:rFonts w:ascii="Times New Roman" w:cs="Times New Roman" w:eastAsia="Times New Roman" w:hAnsi="Times New Roman"/>
          <w:i w:val="1"/>
          <w:sz w:val="24"/>
          <w:szCs w:val="24"/>
          <w:rtl w:val="0"/>
        </w:rPr>
        <w:t xml:space="preserve">vs </w:t>
      </w:r>
      <w:r w:rsidDel="00000000" w:rsidR="00000000" w:rsidRPr="00000000">
        <w:rPr>
          <w:rFonts w:ascii="Times New Roman" w:cs="Times New Roman" w:eastAsia="Times New Roman" w:hAnsi="Times New Roman"/>
          <w:sz w:val="24"/>
          <w:szCs w:val="24"/>
          <w:rtl w:val="0"/>
        </w:rPr>
        <w:t xml:space="preserve">low). Mouth visibility (visible </w:t>
      </w:r>
      <w:r w:rsidDel="00000000" w:rsidR="00000000" w:rsidRPr="00000000">
        <w:rPr>
          <w:rFonts w:ascii="Times New Roman" w:cs="Times New Roman" w:eastAsia="Times New Roman" w:hAnsi="Times New Roman"/>
          <w:i w:val="1"/>
          <w:sz w:val="24"/>
          <w:szCs w:val="24"/>
          <w:rtl w:val="0"/>
        </w:rPr>
        <w:t xml:space="preserve">vs</w:t>
      </w:r>
      <w:r w:rsidDel="00000000" w:rsidR="00000000" w:rsidRPr="00000000">
        <w:rPr>
          <w:rFonts w:ascii="Times New Roman" w:cs="Times New Roman" w:eastAsia="Times New Roman" w:hAnsi="Times New Roman"/>
          <w:sz w:val="24"/>
          <w:szCs w:val="24"/>
          <w:rtl w:val="0"/>
        </w:rPr>
        <w:t xml:space="preserve"> covered) was manipulated during sentence frames. </w:t>
      </w:r>
      <w:r w:rsidDel="00000000" w:rsidR="00000000" w:rsidRPr="00000000">
        <w:rPr>
          <w:rFonts w:ascii="Times New Roman" w:cs="Times New Roman" w:eastAsia="Times New Roman" w:hAnsi="Times New Roman"/>
          <w:sz w:val="24"/>
          <w:szCs w:val="24"/>
          <w:highlight w:val="white"/>
          <w:rtl w:val="0"/>
        </w:rPr>
        <w:t xml:space="preserve">In preliminary target-locked (word audio onset) ERP analyses on 15 CI users, we found an N400 effect at centro-parietal electrodes (low </w:t>
      </w:r>
      <w:r w:rsidDel="00000000" w:rsidR="00000000" w:rsidRPr="00000000">
        <w:rPr>
          <w:rFonts w:ascii="Times New Roman" w:cs="Times New Roman" w:eastAsia="Times New Roman" w:hAnsi="Times New Roman"/>
          <w:i w:val="1"/>
          <w:sz w:val="24"/>
          <w:szCs w:val="24"/>
          <w:highlight w:val="white"/>
          <w:rtl w:val="0"/>
        </w:rPr>
        <w:t xml:space="preserve">vs</w:t>
      </w:r>
      <w:r w:rsidDel="00000000" w:rsidR="00000000" w:rsidRPr="00000000">
        <w:rPr>
          <w:rFonts w:ascii="Times New Roman" w:cs="Times New Roman" w:eastAsia="Times New Roman" w:hAnsi="Times New Roman"/>
          <w:sz w:val="24"/>
          <w:szCs w:val="24"/>
          <w:highlight w:val="white"/>
          <w:rtl w:val="0"/>
        </w:rPr>
        <w:t xml:space="preserve"> high constraint). The amplitude of the effect was comparable between visible and covered mouth conditions. The interpretation and reliability of the findings will be elucidated by the analyses of the full sample and by the comparison with data from age-matched controls. Future analyses will also focus on pre-target alpha-beta and post-target gamma oscillatory activity to explore how predictive processes are deployed and how multisensory information is integrated, respectively. This will yield a fuller picture of audiovisual speech prediction in people who rely on a poorer auditory signal.</w:t>
      </w:r>
      <w:r w:rsidDel="00000000" w:rsidR="00000000" w:rsidRPr="00000000">
        <w:rPr>
          <w:rtl w:val="0"/>
        </w:rPr>
      </w:r>
    </w:p>
    <w:sectPr>
      <w:pgSz w:h="16838" w:w="11906" w:orient="portrait"/>
      <w:pgMar w:bottom="1134" w:top="1417" w:left="1134" w:right="113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e" w:default="1">
    <w:name w:val="Normal"/>
    <w:qFormat w:val="1"/>
  </w:style>
  <w:style w:type="character" w:styleId="Carpredefinitoparagrafo" w:default="1">
    <w:name w:val="Default Paragraph Font"/>
    <w:uiPriority w:val="1"/>
    <w:semiHidden w:val="1"/>
    <w:unhideWhenUsed w:val="1"/>
  </w:style>
  <w:style w:type="table" w:styleId="Tabellanormale" w:default="1">
    <w:name w:val="Normal Table"/>
    <w:uiPriority w:val="99"/>
    <w:semiHidden w:val="1"/>
    <w:unhideWhenUsed w:val="1"/>
    <w:tblPr>
      <w:tblInd w:w="0.0" w:type="dxa"/>
      <w:tblCellMar>
        <w:top w:w="0.0" w:type="dxa"/>
        <w:left w:w="108.0" w:type="dxa"/>
        <w:bottom w:w="0.0" w:type="dxa"/>
        <w:right w:w="108.0" w:type="dxa"/>
      </w:tblCellMar>
    </w:tblPr>
  </w:style>
  <w:style w:type="numbering" w:styleId="Nessunelenco"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yol1OlWCSfY1ryeVIZrs8YvAovQ==">AMUW2mVA87r0sXpomET3leOLg1C1lGbPdcI9B/ZdOo3IbnwZNxPmc4mUXAHN0AxMFw2goK8DaCsjCYYB4hLq/+H/5/udcfxt0OkgZleiGdJPTDjN6lIYcr8=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2023-05-08T11:47:00Z</dcterms:created>
  <dc:creator>Gastaldon Simone</dc:creator>
</cp:coreProperties>
</file>